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13AE" w14:textId="70179B26" w:rsidR="005A2EEE" w:rsidRDefault="005A2EEE" w:rsidP="005A2EEE">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noProof/>
          <w:sz w:val="24"/>
          <w:szCs w:val="24"/>
        </w:rPr>
        <w:drawing>
          <wp:anchor distT="0" distB="0" distL="114300" distR="114300" simplePos="0" relativeHeight="251659264" behindDoc="0" locked="0" layoutInCell="1" hidden="0" allowOverlap="1" wp14:anchorId="54A7EE93" wp14:editId="0AA0E933">
            <wp:simplePos x="0" y="0"/>
            <wp:positionH relativeFrom="column">
              <wp:posOffset>0</wp:posOffset>
            </wp:positionH>
            <wp:positionV relativeFrom="paragraph">
              <wp:posOffset>-365760</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495300"/>
                    </a:xfrm>
                    <a:prstGeom prst="rect">
                      <a:avLst/>
                    </a:prstGeom>
                    <a:ln/>
                  </pic:spPr>
                </pic:pic>
              </a:graphicData>
            </a:graphic>
          </wp:anchor>
        </w:drawing>
      </w:r>
    </w:p>
    <w:p w14:paraId="320B21AC" w14:textId="77777777" w:rsidR="005A2EEE" w:rsidRDefault="005A2EEE" w:rsidP="005A2EEE">
      <w:pPr>
        <w:spacing w:after="0" w:line="240" w:lineRule="auto"/>
        <w:ind w:right="-720"/>
        <w:rPr>
          <w:rFonts w:ascii="Times New Roman" w:hAnsi="Times New Roman" w:cs="Times New Roman"/>
          <w:sz w:val="24"/>
          <w:szCs w:val="24"/>
          <w:lang w:val="haw-US"/>
        </w:rPr>
      </w:pPr>
    </w:p>
    <w:p w14:paraId="3163C16D" w14:textId="33ADEA88" w:rsidR="005A2EEE" w:rsidRPr="002300E9" w:rsidRDefault="005A2EEE" w:rsidP="005A2EEE">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February 22</w:t>
      </w:r>
      <w:r w:rsidRPr="002300E9">
        <w:rPr>
          <w:rFonts w:ascii="Times New Roman" w:hAnsi="Times New Roman" w:cs="Times New Roman"/>
          <w:sz w:val="24"/>
          <w:szCs w:val="24"/>
        </w:rPr>
        <w:t>, 202</w:t>
      </w:r>
      <w:r>
        <w:rPr>
          <w:rFonts w:ascii="Times New Roman" w:hAnsi="Times New Roman" w:cs="Times New Roman"/>
          <w:sz w:val="24"/>
          <w:szCs w:val="24"/>
        </w:rPr>
        <w:t>4</w:t>
      </w:r>
    </w:p>
    <w:p w14:paraId="5B0039A1" w14:textId="77777777" w:rsidR="005A2EEE" w:rsidRPr="002300E9" w:rsidRDefault="005A2EEE" w:rsidP="005A2EEE">
      <w:pPr>
        <w:spacing w:after="0" w:line="240" w:lineRule="auto"/>
        <w:ind w:right="-720"/>
        <w:rPr>
          <w:rFonts w:ascii="Times New Roman" w:hAnsi="Times New Roman" w:cs="Times New Roman"/>
          <w:sz w:val="24"/>
          <w:szCs w:val="24"/>
        </w:rPr>
      </w:pPr>
    </w:p>
    <w:p w14:paraId="32AFB6D2" w14:textId="77777777" w:rsidR="005A2EEE" w:rsidRPr="002300E9" w:rsidRDefault="005A2EEE" w:rsidP="005A2EEE">
      <w:pPr>
        <w:spacing w:after="0" w:line="240" w:lineRule="auto"/>
        <w:ind w:right="-720"/>
        <w:rPr>
          <w:rFonts w:ascii="Times New Roman" w:hAnsi="Times New Roman" w:cs="Times New Roman"/>
          <w:sz w:val="24"/>
          <w:szCs w:val="24"/>
          <w:lang w:val="haw-US"/>
        </w:rPr>
      </w:pPr>
      <w:r>
        <w:rPr>
          <w:rFonts w:ascii="Times New Roman" w:hAnsi="Times New Roman" w:cs="Times New Roman"/>
          <w:sz w:val="24"/>
          <w:szCs w:val="24"/>
          <w:lang w:val="haw-US"/>
        </w:rPr>
        <w:t>House Committee on Judiciary and Hawaiian Affairs</w:t>
      </w:r>
    </w:p>
    <w:p w14:paraId="1A056E42" w14:textId="77777777" w:rsidR="005A2EEE" w:rsidRPr="002300E9" w:rsidRDefault="005A2EEE" w:rsidP="005A2EEE">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Pr>
          <w:rFonts w:ascii="Times New Roman" w:hAnsi="Times New Roman" w:cs="Times New Roman"/>
          <w:sz w:val="24"/>
          <w:szCs w:val="24"/>
          <w:lang w:val="haw-US"/>
        </w:rPr>
        <w:t>2:00 PM</w:t>
      </w:r>
    </w:p>
    <w:p w14:paraId="5D6396E4" w14:textId="77777777" w:rsidR="005A2EEE" w:rsidRPr="002300E9" w:rsidRDefault="005A2EEE" w:rsidP="005A2EEE">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Pr>
          <w:rFonts w:ascii="Times New Roman" w:hAnsi="Times New Roman" w:cs="Times New Roman"/>
          <w:sz w:val="24"/>
          <w:szCs w:val="24"/>
          <w:lang w:val="haw-US"/>
        </w:rPr>
        <w:t>325</w:t>
      </w:r>
    </w:p>
    <w:p w14:paraId="50A09C84" w14:textId="4E3B7F3B" w:rsidR="005A2EEE" w:rsidRPr="002300E9" w:rsidRDefault="005A2EEE" w:rsidP="005A2EEE">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Pr>
          <w:rFonts w:ascii="Times New Roman" w:hAnsi="Times New Roman" w:cs="Times New Roman"/>
          <w:sz w:val="24"/>
          <w:szCs w:val="24"/>
        </w:rPr>
        <w:t>HB160</w:t>
      </w:r>
      <w:r w:rsidR="0014154D">
        <w:rPr>
          <w:rFonts w:ascii="Times New Roman" w:hAnsi="Times New Roman" w:cs="Times New Roman"/>
          <w:sz w:val="24"/>
          <w:szCs w:val="24"/>
        </w:rPr>
        <w:t>2</w:t>
      </w:r>
      <w:r>
        <w:rPr>
          <w:rFonts w:ascii="Times New Roman" w:hAnsi="Times New Roman" w:cs="Times New Roman"/>
          <w:sz w:val="24"/>
          <w:szCs w:val="24"/>
        </w:rPr>
        <w:t>, Relating to Criminal Justice Reform</w:t>
      </w:r>
    </w:p>
    <w:p w14:paraId="3CA15F2D" w14:textId="77777777" w:rsidR="005A2EEE" w:rsidRPr="002300E9" w:rsidRDefault="005A2EEE" w:rsidP="005A2EEE">
      <w:pPr>
        <w:spacing w:after="0" w:line="240" w:lineRule="auto"/>
        <w:ind w:right="-720"/>
        <w:rPr>
          <w:rFonts w:ascii="Times New Roman" w:hAnsi="Times New Roman" w:cs="Times New Roman"/>
          <w:sz w:val="24"/>
          <w:szCs w:val="24"/>
        </w:rPr>
      </w:pPr>
    </w:p>
    <w:p w14:paraId="15CD186B" w14:textId="77777777" w:rsidR="005A2EEE" w:rsidRPr="002300E9" w:rsidRDefault="005A2EEE" w:rsidP="005A2EEE">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 xml:space="preserve">e </w:t>
      </w:r>
      <w:r>
        <w:rPr>
          <w:rFonts w:ascii="Times New Roman" w:hAnsi="Times New Roman" w:cs="Times New Roman"/>
          <w:sz w:val="24"/>
          <w:szCs w:val="24"/>
          <w:lang w:val="haw-US"/>
        </w:rPr>
        <w:t>Chair Tarnas, Vice Chair Takayama, and members of the Committee,</w:t>
      </w:r>
    </w:p>
    <w:p w14:paraId="782E76E4" w14:textId="77777777" w:rsidR="005A2EEE" w:rsidRPr="002300E9" w:rsidRDefault="005A2EEE" w:rsidP="005A2EEE">
      <w:pPr>
        <w:spacing w:after="0" w:line="240" w:lineRule="auto"/>
        <w:ind w:right="-720"/>
        <w:rPr>
          <w:rFonts w:ascii="Times New Roman" w:hAnsi="Times New Roman" w:cs="Times New Roman"/>
          <w:sz w:val="24"/>
          <w:szCs w:val="24"/>
        </w:rPr>
      </w:pPr>
    </w:p>
    <w:p w14:paraId="2994079C" w14:textId="47ECD769" w:rsidR="005A2EEE" w:rsidRDefault="005A2EEE" w:rsidP="005A2EEE">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hui,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Pr>
          <w:rFonts w:ascii="Times New Roman" w:hAnsi="Times New Roman" w:cs="Times New Roman"/>
          <w:sz w:val="24"/>
          <w:szCs w:val="24"/>
        </w:rPr>
        <w:t>HB160</w:t>
      </w:r>
      <w:r w:rsidR="0014154D">
        <w:rPr>
          <w:rFonts w:ascii="Times New Roman" w:hAnsi="Times New Roman" w:cs="Times New Roman"/>
          <w:sz w:val="24"/>
          <w:szCs w:val="24"/>
        </w:rPr>
        <w:t>2</w:t>
      </w:r>
      <w:r>
        <w:rPr>
          <w:rFonts w:ascii="Times New Roman" w:hAnsi="Times New Roman" w:cs="Times New Roman"/>
          <w:sz w:val="24"/>
          <w:szCs w:val="24"/>
        </w:rPr>
        <w:t>, relating to criminal justice reform. This bill</w:t>
      </w:r>
      <w:r w:rsidR="0014154D">
        <w:rPr>
          <w:rFonts w:ascii="Times New Roman" w:hAnsi="Times New Roman" w:cs="Times New Roman"/>
          <w:sz w:val="24"/>
          <w:szCs w:val="24"/>
        </w:rPr>
        <w:t xml:space="preserve"> authorizes a 48-hour grace period after a missed initial court appearance</w:t>
      </w:r>
      <w:r>
        <w:rPr>
          <w:rFonts w:ascii="Times New Roman" w:hAnsi="Times New Roman" w:cs="Times New Roman"/>
          <w:sz w:val="24"/>
          <w:szCs w:val="24"/>
        </w:rPr>
        <w:t>.</w:t>
      </w:r>
    </w:p>
    <w:p w14:paraId="6F3D26E6" w14:textId="77777777" w:rsidR="0014154D" w:rsidRDefault="0014154D" w:rsidP="005A2EEE">
      <w:pPr>
        <w:spacing w:after="0" w:line="240" w:lineRule="auto"/>
        <w:ind w:right="-180"/>
        <w:rPr>
          <w:rFonts w:ascii="Times New Roman" w:hAnsi="Times New Roman" w:cs="Times New Roman"/>
          <w:sz w:val="24"/>
          <w:szCs w:val="24"/>
        </w:rPr>
      </w:pPr>
    </w:p>
    <w:p w14:paraId="2EF4AC09" w14:textId="003BC392" w:rsidR="005A2EEE" w:rsidRDefault="0014154D" w:rsidP="005A2EEE">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Currently, failure to appear in court results in the issuance of an arrest warrant. Arrests not only assume a significant portion of limited police resources, but also have a lasting economic and psychological impact on arrestees and their families.</w:t>
      </w:r>
    </w:p>
    <w:p w14:paraId="62DF0062" w14:textId="77777777" w:rsidR="0014154D" w:rsidRDefault="0014154D" w:rsidP="005A2EEE">
      <w:pPr>
        <w:spacing w:after="0" w:line="240" w:lineRule="auto"/>
        <w:ind w:right="-180"/>
        <w:rPr>
          <w:rFonts w:ascii="Times New Roman" w:hAnsi="Times New Roman" w:cs="Times New Roman"/>
          <w:sz w:val="24"/>
          <w:szCs w:val="24"/>
        </w:rPr>
      </w:pPr>
    </w:p>
    <w:p w14:paraId="5330D83B" w14:textId="3561ADB6" w:rsidR="0014154D" w:rsidRDefault="0014154D" w:rsidP="005A2EEE">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Many factors may case individuals to miss their court dates, including circumstances beyond their control. These individuals should not be subject to immediate arrest and incarceration without being afforded a reasonable opportunity to rectify the situation. Compounding circumstances, </w:t>
      </w:r>
      <w:r w:rsidR="00250645">
        <w:rPr>
          <w:rFonts w:ascii="Times New Roman" w:hAnsi="Times New Roman" w:cs="Times New Roman"/>
          <w:sz w:val="24"/>
          <w:szCs w:val="24"/>
        </w:rPr>
        <w:t>including</w:t>
      </w:r>
      <w:r>
        <w:rPr>
          <w:rFonts w:ascii="Times New Roman" w:hAnsi="Times New Roman" w:cs="Times New Roman"/>
          <w:sz w:val="24"/>
          <w:szCs w:val="24"/>
        </w:rPr>
        <w:t xml:space="preserve"> the issuance of an arrest warrant for a missed court </w:t>
      </w:r>
      <w:r w:rsidR="00250645">
        <w:rPr>
          <w:rFonts w:ascii="Times New Roman" w:hAnsi="Times New Roman" w:cs="Times New Roman"/>
          <w:sz w:val="24"/>
          <w:szCs w:val="24"/>
        </w:rPr>
        <w:t xml:space="preserve">date, only strain our already overburdened criminal justice system, perpetuate the cyclical nature of incarceration, and increase recidivism rates. </w:t>
      </w:r>
    </w:p>
    <w:p w14:paraId="75C85086" w14:textId="77777777" w:rsidR="0014154D" w:rsidRDefault="0014154D" w:rsidP="005A2EEE">
      <w:pPr>
        <w:spacing w:after="0" w:line="240" w:lineRule="auto"/>
        <w:ind w:right="-180"/>
        <w:rPr>
          <w:rFonts w:ascii="Times New Roman" w:hAnsi="Times New Roman" w:cs="Times New Roman"/>
          <w:sz w:val="24"/>
          <w:szCs w:val="24"/>
        </w:rPr>
      </w:pPr>
    </w:p>
    <w:p w14:paraId="6B11D466" w14:textId="756A9BF1" w:rsidR="0014154D" w:rsidRDefault="0014154D" w:rsidP="005A2EEE">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 xml:space="preserve">By authorizing a 48-hour grace period after a missed initial court appearance, HB1602 provides individuals with the necessary time to reschedule hearings, consult with legal counsel, and make appropriate arrangements to appear before the court. This bill acknowledges the complexity of people’s lives and the myriad of factors that can contribute to missed court dates, while also promoting values of fairness and due process within our legal system. </w:t>
      </w:r>
      <w:r w:rsidR="00250645">
        <w:rPr>
          <w:rFonts w:ascii="Times New Roman" w:hAnsi="Times New Roman" w:cs="Times New Roman"/>
          <w:sz w:val="24"/>
          <w:szCs w:val="24"/>
        </w:rPr>
        <w:t xml:space="preserve">A grace period may also foster greater trust and cooperation between law enforcement, the judiciary, and the communities they serve. By adopting a more compassionate and understanding approach to missed court appearances, we can build stronger relationship and promote a sense of accountability and responsibility within the community. </w:t>
      </w:r>
    </w:p>
    <w:p w14:paraId="7B78B03B" w14:textId="77777777" w:rsidR="005A2EEE" w:rsidRPr="002300E9" w:rsidRDefault="005A2EEE" w:rsidP="005A2EEE">
      <w:pPr>
        <w:spacing w:after="0" w:line="240" w:lineRule="auto"/>
        <w:ind w:right="-180"/>
        <w:rPr>
          <w:rFonts w:ascii="Times New Roman" w:hAnsi="Times New Roman" w:cs="Times New Roman"/>
          <w:sz w:val="24"/>
          <w:szCs w:val="24"/>
        </w:rPr>
      </w:pPr>
    </w:p>
    <w:p w14:paraId="600DB4E7" w14:textId="77777777" w:rsidR="005A2EEE" w:rsidRPr="002300E9" w:rsidRDefault="005A2EEE" w:rsidP="005A2EEE">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Content>
          <w:r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 informed approaches among public/private agencies serving youth.</w:t>
      </w:r>
    </w:p>
    <w:p w14:paraId="08E1EA4C" w14:textId="77777777" w:rsidR="005A2EEE" w:rsidRPr="002300E9" w:rsidRDefault="005A2EEE" w:rsidP="005A2EEE">
      <w:pPr>
        <w:spacing w:after="0" w:line="240" w:lineRule="auto"/>
        <w:ind w:right="-180"/>
        <w:rPr>
          <w:rFonts w:ascii="Times New Roman" w:hAnsi="Times New Roman" w:cs="Times New Roman"/>
          <w:sz w:val="24"/>
          <w:szCs w:val="24"/>
        </w:rPr>
      </w:pPr>
    </w:p>
    <w:p w14:paraId="7891913D" w14:textId="037DBD10" w:rsidR="00FA793F" w:rsidRPr="002300E9" w:rsidRDefault="005A2EEE" w:rsidP="005A2EEE">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 xml:space="preserve">Please support </w:t>
      </w:r>
      <w:r>
        <w:rPr>
          <w:rFonts w:ascii="Times New Roman" w:hAnsi="Times New Roman" w:cs="Times New Roman"/>
          <w:b/>
          <w:bCs/>
          <w:sz w:val="24"/>
          <w:szCs w:val="24"/>
          <w:lang w:val="haw-US"/>
        </w:rPr>
        <w:t>HB160</w:t>
      </w:r>
      <w:r w:rsidR="0014154D">
        <w:rPr>
          <w:rFonts w:ascii="Times New Roman" w:hAnsi="Times New Roman" w:cs="Times New Roman"/>
          <w:b/>
          <w:bCs/>
          <w:sz w:val="24"/>
          <w:szCs w:val="24"/>
          <w:lang w:val="haw-US"/>
        </w:rPr>
        <w:t>2</w:t>
      </w:r>
      <w:r w:rsidRPr="002300E9">
        <w:rPr>
          <w:rFonts w:ascii="Times New Roman" w:hAnsi="Times New Roman" w:cs="Times New Roman"/>
          <w:b/>
          <w:bCs/>
          <w:sz w:val="24"/>
          <w:szCs w:val="24"/>
          <w:lang w:val="haw-US"/>
        </w:rPr>
        <w:t>.</w:t>
      </w:r>
    </w:p>
    <w:p w14:paraId="21BA1875" w14:textId="0ACFA4B4" w:rsidR="001F799F" w:rsidRPr="00FA793F" w:rsidRDefault="00FA793F" w:rsidP="00FA793F">
      <w:pPr>
        <w:spacing w:after="0" w:line="240" w:lineRule="auto"/>
        <w:ind w:right="-180"/>
        <w:jc w:val="center"/>
        <w:rPr>
          <w:rFonts w:ascii="Times New Roman" w:hAnsi="Times New Roman" w:cs="Times New Roman"/>
          <w:color w:val="ED7D31" w:themeColor="accent2"/>
          <w:sz w:val="24"/>
          <w:szCs w:val="24"/>
        </w:rPr>
      </w:pPr>
      <w:r w:rsidRPr="002300E9">
        <w:rPr>
          <w:rFonts w:ascii="Times New Roman" w:hAnsi="Times New Roman" w:cs="Times New Roman"/>
          <w:noProof/>
          <w:color w:val="ED7D31" w:themeColor="accent2"/>
          <w:sz w:val="24"/>
          <w:szCs w:val="24"/>
        </w:rPr>
        <mc:AlternateContent>
          <mc:Choice Requires="wps">
            <w:drawing>
              <wp:anchor distT="45720" distB="45720" distL="114300" distR="114300" simplePos="0" relativeHeight="251661312" behindDoc="0" locked="0" layoutInCell="1" hidden="0" allowOverlap="1" wp14:anchorId="5F57D881" wp14:editId="4819AB59">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4C739E13" w14:textId="77777777" w:rsidR="00FA793F" w:rsidRDefault="00FA793F" w:rsidP="00FA793F">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5F57D881" id="Rectangle 218" o:spid="_x0000_s1026" style="position:absolute;left:0;text-align:left;margin-left:-28pt;margin-top:436.6pt;width:538.25pt;height:111.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4C739E13" w14:textId="77777777" w:rsidR="00FA793F" w:rsidRDefault="00FA793F" w:rsidP="00FA793F">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v:textbox>
              </v:rect>
            </w:pict>
          </mc:Fallback>
        </mc:AlternateContent>
      </w:r>
    </w:p>
    <w:sectPr w:rsidR="001F799F" w:rsidRPr="00FA793F" w:rsidSect="008B59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1948" w14:textId="77777777" w:rsidR="008B59FB" w:rsidRDefault="008B59FB" w:rsidP="00FA793F">
      <w:pPr>
        <w:spacing w:after="0" w:line="240" w:lineRule="auto"/>
      </w:pPr>
      <w:r>
        <w:separator/>
      </w:r>
    </w:p>
  </w:endnote>
  <w:endnote w:type="continuationSeparator" w:id="0">
    <w:p w14:paraId="64BB016A" w14:textId="77777777" w:rsidR="008B59FB" w:rsidRDefault="008B59FB" w:rsidP="00FA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1F5D" w14:textId="77777777" w:rsidR="00FA793F" w:rsidRPr="00FA793F" w:rsidRDefault="00FA793F" w:rsidP="00FA793F">
    <w:pPr>
      <w:spacing w:after="0" w:line="240" w:lineRule="auto"/>
      <w:ind w:right="-180"/>
      <w:jc w:val="center"/>
      <w:rPr>
        <w:rFonts w:ascii="Times New Roman" w:hAnsi="Times New Roman" w:cs="Times New Roman"/>
        <w:color w:val="ED7D31" w:themeColor="accent2"/>
        <w:sz w:val="24"/>
        <w:szCs w:val="24"/>
      </w:rPr>
    </w:pPr>
    <w:r w:rsidRPr="002300E9">
      <w:rPr>
        <w:rFonts w:ascii="Times New Roman" w:hAnsi="Times New Roman" w:cs="Times New Roman"/>
        <w:noProof/>
        <w:color w:val="ED7D31" w:themeColor="accent2"/>
        <w:sz w:val="24"/>
        <w:szCs w:val="24"/>
      </w:rPr>
      <mc:AlternateContent>
        <mc:Choice Requires="wps">
          <w:drawing>
            <wp:anchor distT="45720" distB="45720" distL="114300" distR="114300" simplePos="0" relativeHeight="251659264" behindDoc="0" locked="0" layoutInCell="1" hidden="0" allowOverlap="1" wp14:anchorId="585F171D" wp14:editId="530695C4">
              <wp:simplePos x="0" y="0"/>
              <wp:positionH relativeFrom="column">
                <wp:posOffset>-355599</wp:posOffset>
              </wp:positionH>
              <wp:positionV relativeFrom="paragraph">
                <wp:posOffset>5544820</wp:posOffset>
              </wp:positionV>
              <wp:extent cx="6835775" cy="1414145"/>
              <wp:effectExtent l="0" t="0" r="0" b="0"/>
              <wp:wrapNone/>
              <wp:docPr id="1768285327" name="Rectangle 1768285327"/>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53607C54" w14:textId="77777777" w:rsidR="00FA793F" w:rsidRDefault="00FA793F" w:rsidP="00FA793F">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585F171D" id="Rectangle 1768285327" o:spid="_x0000_s1027" style="position:absolute;left:0;text-align:left;margin-left:-28pt;margin-top:436.6pt;width:538.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53607C54" w14:textId="77777777" w:rsidR="00FA793F" w:rsidRDefault="00FA793F" w:rsidP="00FA793F">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v:textbox>
            </v:rect>
          </w:pict>
        </mc:Fallback>
      </mc:AlternateContent>
    </w:r>
    <w:r w:rsidRPr="002300E9">
      <w:rPr>
        <w:rFonts w:ascii="Times New Roman" w:hAnsi="Times New Roman" w:cs="Times New Roman"/>
        <w:color w:val="ED7D31" w:themeColor="accent2"/>
        <w:sz w:val="24"/>
        <w:szCs w:val="24"/>
      </w:rPr>
      <w:t xml:space="preserve">1099 </w:t>
    </w:r>
    <w:proofErr w:type="spellStart"/>
    <w:r w:rsidRPr="002300E9">
      <w:rPr>
        <w:rFonts w:ascii="Times New Roman" w:hAnsi="Times New Roman" w:cs="Times New Roman"/>
        <w:color w:val="ED7D31" w:themeColor="accent2"/>
        <w:sz w:val="24"/>
        <w:szCs w:val="24"/>
      </w:rPr>
      <w:t>Alakea</w:t>
    </w:r>
    <w:proofErr w:type="spellEnd"/>
    <w:r w:rsidRPr="002300E9">
      <w:rPr>
        <w:rFonts w:ascii="Times New Roman" w:hAnsi="Times New Roman" w:cs="Times New Roman"/>
        <w:color w:val="ED7D31" w:themeColor="accent2"/>
        <w:sz w:val="24"/>
        <w:szCs w:val="24"/>
      </w:rPr>
      <w:t xml:space="preserve"> Street, Suite 2530 | Honolulu, Hawaii 96813 | (808) 447-1840</w:t>
    </w:r>
  </w:p>
  <w:p w14:paraId="504F0AA3" w14:textId="77777777" w:rsidR="00FA793F" w:rsidRDefault="00F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F5C3" w14:textId="77777777" w:rsidR="008B59FB" w:rsidRDefault="008B59FB" w:rsidP="00FA793F">
      <w:pPr>
        <w:spacing w:after="0" w:line="240" w:lineRule="auto"/>
      </w:pPr>
      <w:r>
        <w:separator/>
      </w:r>
    </w:p>
  </w:footnote>
  <w:footnote w:type="continuationSeparator" w:id="0">
    <w:p w14:paraId="43B56D82" w14:textId="77777777" w:rsidR="008B59FB" w:rsidRDefault="008B59FB" w:rsidP="00FA79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EEE"/>
    <w:rsid w:val="0014154D"/>
    <w:rsid w:val="001F799F"/>
    <w:rsid w:val="00250645"/>
    <w:rsid w:val="004842D0"/>
    <w:rsid w:val="005A2EEE"/>
    <w:rsid w:val="006447F9"/>
    <w:rsid w:val="008B59FB"/>
    <w:rsid w:val="00DA2DC7"/>
    <w:rsid w:val="00DC4A95"/>
    <w:rsid w:val="00F20FE8"/>
    <w:rsid w:val="00FA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B65DF5"/>
  <w14:defaultImageDpi w14:val="32767"/>
  <w15:chartTrackingRefBased/>
  <w15:docId w15:val="{E9527CDF-D7DD-4042-88F4-29B5D99C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EEE"/>
    <w:pPr>
      <w:spacing w:after="160" w:line="259" w:lineRule="auto"/>
    </w:pPr>
    <w:rPr>
      <w:rFonts w:ascii="Calibri" w:eastAsia="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3F"/>
    <w:rPr>
      <w:rFonts w:ascii="Calibri" w:eastAsia="Calibri" w:hAnsi="Calibri" w:cs="Calibri"/>
      <w:kern w:val="0"/>
      <w:sz w:val="22"/>
      <w:szCs w:val="22"/>
      <w14:ligatures w14:val="none"/>
    </w:rPr>
  </w:style>
  <w:style w:type="paragraph" w:styleId="Footer">
    <w:name w:val="footer"/>
    <w:basedOn w:val="Normal"/>
    <w:link w:val="FooterChar"/>
    <w:uiPriority w:val="99"/>
    <w:unhideWhenUsed/>
    <w:rsid w:val="00FA7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3F"/>
    <w:rPr>
      <w:rFonts w:ascii="Calibri" w:eastAsia="Calibri" w:hAnsi="Calibri" w:cs="Calibri"/>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Story</dc:creator>
  <cp:keywords/>
  <dc:description/>
  <cp:lastModifiedBy>Sydney Story</cp:lastModifiedBy>
  <cp:revision>4</cp:revision>
  <dcterms:created xsi:type="dcterms:W3CDTF">2024-02-21T09:26:00Z</dcterms:created>
  <dcterms:modified xsi:type="dcterms:W3CDTF">2024-02-21T21:01:00Z</dcterms:modified>
</cp:coreProperties>
</file>