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0243" w14:textId="77777777" w:rsidR="008F2747" w:rsidRDefault="008F2747" w:rsidP="00FA13AE">
      <w:pPr>
        <w:spacing w:line="276" w:lineRule="auto"/>
        <w:rPr>
          <w:sz w:val="24"/>
          <w:szCs w:val="24"/>
        </w:rPr>
      </w:pPr>
    </w:p>
    <w:p w14:paraId="21DF8E02" w14:textId="77777777" w:rsidR="00D51A24" w:rsidRDefault="00D51A24" w:rsidP="00FA13AE">
      <w:pPr>
        <w:spacing w:line="276" w:lineRule="auto"/>
        <w:rPr>
          <w:sz w:val="24"/>
          <w:szCs w:val="24"/>
        </w:rPr>
      </w:pPr>
    </w:p>
    <w:p w14:paraId="02A0E2D6" w14:textId="204C1573" w:rsidR="00555532" w:rsidRPr="00FA13AE" w:rsidRDefault="0093565E" w:rsidP="00FA13AE">
      <w:pPr>
        <w:spacing w:line="276" w:lineRule="auto"/>
        <w:rPr>
          <w:sz w:val="24"/>
          <w:szCs w:val="24"/>
        </w:rPr>
      </w:pPr>
      <w:r>
        <w:rPr>
          <w:noProof/>
        </w:rPr>
        <w:drawing>
          <wp:anchor distT="0" distB="0" distL="114300" distR="114300" simplePos="0" relativeHeight="251658240" behindDoc="0" locked="0" layoutInCell="1" hidden="0" allowOverlap="1" wp14:anchorId="62E156A0" wp14:editId="79C5297D">
            <wp:simplePos x="0" y="0"/>
            <wp:positionH relativeFrom="column">
              <wp:posOffset>1</wp:posOffset>
            </wp:positionH>
            <wp:positionV relativeFrom="paragraph">
              <wp:posOffset>-380999</wp:posOffset>
            </wp:positionV>
            <wp:extent cx="5943600" cy="495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95300"/>
                    </a:xfrm>
                    <a:prstGeom prst="rect">
                      <a:avLst/>
                    </a:prstGeom>
                    <a:ln/>
                  </pic:spPr>
                </pic:pic>
              </a:graphicData>
            </a:graphic>
          </wp:anchor>
        </w:drawing>
      </w:r>
    </w:p>
    <w:p w14:paraId="712AD1A7" w14:textId="77777777" w:rsidR="00555532" w:rsidRPr="0093565E" w:rsidRDefault="0093565E">
      <w:pPr>
        <w:spacing w:after="0" w:line="276" w:lineRule="auto"/>
        <w:ind w:right="-720"/>
        <w:rPr>
          <w:rFonts w:asciiTheme="minorHAnsi" w:eastAsia="Times New Roman" w:hAnsiTheme="minorHAnsi" w:cstheme="minorHAnsi"/>
        </w:rPr>
      </w:pPr>
      <w:r w:rsidRPr="0093565E">
        <w:rPr>
          <w:rFonts w:asciiTheme="minorHAnsi" w:eastAsia="Times New Roman" w:hAnsiTheme="minorHAnsi" w:cstheme="minorHAnsi"/>
        </w:rPr>
        <w:t>Committee:</w:t>
      </w:r>
      <w:r w:rsidRPr="0093565E">
        <w:rPr>
          <w:rFonts w:asciiTheme="minorHAnsi" w:eastAsia="Times New Roman" w:hAnsiTheme="minorHAnsi" w:cstheme="minorHAnsi"/>
        </w:rPr>
        <w:tab/>
        <w:t>House Committee on Labor &amp; Government Relations</w:t>
      </w:r>
    </w:p>
    <w:p w14:paraId="12B9F06E" w14:textId="77777777" w:rsidR="00555532" w:rsidRPr="0093565E" w:rsidRDefault="0093565E">
      <w:pPr>
        <w:spacing w:after="0" w:line="276" w:lineRule="auto"/>
        <w:ind w:right="-720"/>
        <w:rPr>
          <w:rFonts w:asciiTheme="minorHAnsi" w:eastAsia="Times New Roman" w:hAnsiTheme="minorHAnsi" w:cstheme="minorHAnsi"/>
        </w:rPr>
      </w:pPr>
      <w:r w:rsidRPr="0093565E">
        <w:rPr>
          <w:rFonts w:asciiTheme="minorHAnsi" w:eastAsia="Times New Roman" w:hAnsiTheme="minorHAnsi" w:cstheme="minorHAnsi"/>
        </w:rPr>
        <w:t xml:space="preserve">Hearing Time: </w:t>
      </w:r>
      <w:r w:rsidRPr="0093565E">
        <w:rPr>
          <w:rFonts w:asciiTheme="minorHAnsi" w:eastAsia="Times New Roman" w:hAnsiTheme="minorHAnsi" w:cstheme="minorHAnsi"/>
        </w:rPr>
        <w:tab/>
        <w:t>2:00 p.m., February 14, 2023</w:t>
      </w:r>
    </w:p>
    <w:p w14:paraId="024960A4" w14:textId="77777777" w:rsidR="00555532" w:rsidRPr="0093565E" w:rsidRDefault="0093565E">
      <w:pPr>
        <w:spacing w:after="0" w:line="276" w:lineRule="auto"/>
        <w:ind w:right="-720"/>
        <w:rPr>
          <w:rFonts w:asciiTheme="minorHAnsi" w:eastAsia="Times New Roman" w:hAnsiTheme="minorHAnsi" w:cstheme="minorHAnsi"/>
        </w:rPr>
      </w:pPr>
      <w:r w:rsidRPr="0093565E">
        <w:rPr>
          <w:rFonts w:asciiTheme="minorHAnsi" w:eastAsia="Times New Roman" w:hAnsiTheme="minorHAnsi" w:cstheme="minorHAnsi"/>
        </w:rPr>
        <w:t xml:space="preserve">Location: </w:t>
      </w:r>
      <w:r w:rsidRPr="0093565E">
        <w:rPr>
          <w:rFonts w:asciiTheme="minorHAnsi" w:eastAsia="Times New Roman" w:hAnsiTheme="minorHAnsi" w:cstheme="minorHAnsi"/>
        </w:rPr>
        <w:tab/>
        <w:t>State Capitol</w:t>
      </w:r>
    </w:p>
    <w:p w14:paraId="540D1B4A" w14:textId="77777777" w:rsidR="00555532" w:rsidRPr="0093565E" w:rsidRDefault="0093565E">
      <w:pPr>
        <w:spacing w:after="0" w:line="276" w:lineRule="auto"/>
        <w:ind w:right="-720"/>
        <w:rPr>
          <w:rFonts w:asciiTheme="minorHAnsi" w:eastAsia="Times New Roman" w:hAnsiTheme="minorHAnsi" w:cstheme="minorHAnsi"/>
        </w:rPr>
      </w:pPr>
      <w:r w:rsidRPr="0093565E">
        <w:rPr>
          <w:rFonts w:asciiTheme="minorHAnsi" w:eastAsia="Times New Roman" w:hAnsiTheme="minorHAnsi" w:cstheme="minorHAnsi"/>
        </w:rPr>
        <w:t xml:space="preserve">Re: </w:t>
      </w:r>
      <w:r w:rsidRPr="0093565E">
        <w:rPr>
          <w:rFonts w:asciiTheme="minorHAnsi" w:eastAsia="Times New Roman" w:hAnsiTheme="minorHAnsi" w:cstheme="minorHAnsi"/>
        </w:rPr>
        <w:tab/>
      </w:r>
      <w:r w:rsidRPr="0093565E">
        <w:rPr>
          <w:rFonts w:asciiTheme="minorHAnsi" w:eastAsia="Times New Roman" w:hAnsiTheme="minorHAnsi" w:cstheme="minorHAnsi"/>
        </w:rPr>
        <w:tab/>
        <w:t>HB537 HD1, Relating to Electronic Smoking Devices</w:t>
      </w:r>
    </w:p>
    <w:p w14:paraId="15DCCA11" w14:textId="77777777" w:rsidR="00555532" w:rsidRPr="0093565E" w:rsidRDefault="00555532">
      <w:pPr>
        <w:spacing w:after="0" w:line="276" w:lineRule="auto"/>
        <w:ind w:right="-720"/>
        <w:rPr>
          <w:rFonts w:asciiTheme="minorHAnsi" w:eastAsia="Times New Roman" w:hAnsiTheme="minorHAnsi" w:cstheme="minorHAnsi"/>
        </w:rPr>
      </w:pPr>
    </w:p>
    <w:p w14:paraId="5240B309" w14:textId="77777777" w:rsidR="00555532" w:rsidRPr="0093565E" w:rsidRDefault="0093565E">
      <w:pPr>
        <w:spacing w:after="0" w:line="276" w:lineRule="auto"/>
        <w:ind w:right="-720"/>
        <w:rPr>
          <w:rFonts w:asciiTheme="minorHAnsi" w:eastAsia="Times New Roman" w:hAnsiTheme="minorHAnsi" w:cstheme="minorHAnsi"/>
        </w:rPr>
      </w:pPr>
      <w:r w:rsidRPr="0093565E">
        <w:rPr>
          <w:rFonts w:asciiTheme="minorHAnsi" w:eastAsia="Times New Roman" w:hAnsiTheme="minorHAnsi" w:cstheme="minorHAnsi"/>
        </w:rPr>
        <w:t>Aloha e Chair Matayoshi, and members of the Committee:</w:t>
      </w:r>
    </w:p>
    <w:p w14:paraId="17213757" w14:textId="77777777" w:rsidR="00555532" w:rsidRPr="0093565E" w:rsidRDefault="00555532">
      <w:pPr>
        <w:spacing w:after="0" w:line="276" w:lineRule="auto"/>
        <w:ind w:right="-720"/>
        <w:rPr>
          <w:rFonts w:asciiTheme="minorHAnsi" w:eastAsia="Times New Roman" w:hAnsiTheme="minorHAnsi" w:cstheme="minorHAnsi"/>
        </w:rPr>
      </w:pPr>
    </w:p>
    <w:p w14:paraId="7054BAA0" w14:textId="77777777" w:rsidR="00555532" w:rsidRPr="0093565E"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We are writing in </w:t>
      </w:r>
      <w:r w:rsidRPr="0093565E">
        <w:rPr>
          <w:rFonts w:asciiTheme="minorHAnsi" w:eastAsia="Times New Roman" w:hAnsiTheme="minorHAnsi" w:cstheme="minorHAnsi"/>
          <w:b/>
        </w:rPr>
        <w:t>strong support</w:t>
      </w:r>
      <w:r w:rsidRPr="0093565E">
        <w:rPr>
          <w:rFonts w:asciiTheme="minorHAnsi" w:eastAsia="Times New Roman" w:hAnsiTheme="minorHAnsi" w:cstheme="minorHAnsi"/>
        </w:rPr>
        <w:t xml:space="preserve"> of HB 537, Relating to Electronic Smoking Devices. </w:t>
      </w:r>
    </w:p>
    <w:p w14:paraId="7D888AE6" w14:textId="77777777" w:rsidR="00555532" w:rsidRPr="0093565E" w:rsidRDefault="00555532">
      <w:pPr>
        <w:spacing w:after="0" w:line="276" w:lineRule="auto"/>
        <w:rPr>
          <w:rFonts w:asciiTheme="minorHAnsi" w:eastAsia="Times New Roman" w:hAnsiTheme="minorHAnsi" w:cstheme="minorHAnsi"/>
        </w:rPr>
      </w:pPr>
    </w:p>
    <w:p w14:paraId="7A45A6A4" w14:textId="77777777" w:rsidR="00555532" w:rsidRPr="0093565E"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This bill establishes a tax equal to 70% of the manufacturer’s list price for electronic smoking devices (ESDs) and e-liquid products. It expands the electronic smoking device retailer registration unit to include wholesalers and e-liquid products retailers and wholesalers. Further, this bill requires electronic cigarette and e-liquid products retailers and wholesalers to register with the electronic smoking device and e-liquid products retailer and wholesaler registration unit. </w:t>
      </w:r>
    </w:p>
    <w:p w14:paraId="5D16E2FA" w14:textId="77777777" w:rsidR="00555532" w:rsidRPr="0093565E" w:rsidRDefault="00555532">
      <w:pPr>
        <w:spacing w:after="0" w:line="276" w:lineRule="auto"/>
        <w:rPr>
          <w:rFonts w:asciiTheme="minorHAnsi" w:eastAsia="Times New Roman" w:hAnsiTheme="minorHAnsi" w:cstheme="minorHAnsi"/>
        </w:rPr>
      </w:pPr>
    </w:p>
    <w:p w14:paraId="520E8555" w14:textId="77777777" w:rsidR="00555532" w:rsidRPr="0093565E"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An increase in tax and regulations has been a proven method of circumventing tobacco addiction. The World Health Organization estimates that for every 10% tax increase, the overall smoking rate falls about 4%. Furthermore, </w:t>
      </w:r>
      <w:r w:rsidRPr="0093565E">
        <w:rPr>
          <w:rFonts w:asciiTheme="minorHAnsi" w:eastAsia="Times New Roman" w:hAnsiTheme="minorHAnsi" w:cstheme="minorHAnsi"/>
          <w:b/>
        </w:rPr>
        <w:t>according to the World Health Organization, significantly increasing tobacco excise taxes is the single most effective and cost-effective measure for reducing tobacco use.</w:t>
      </w:r>
      <w:r w:rsidRPr="0093565E">
        <w:rPr>
          <w:rFonts w:asciiTheme="minorHAnsi" w:eastAsia="Times New Roman" w:hAnsiTheme="minorHAnsi" w:cstheme="minorHAnsi"/>
        </w:rPr>
        <w:t xml:space="preserve"> Early evidence suggests that taxing ESDs would have similar effects.</w:t>
      </w:r>
    </w:p>
    <w:p w14:paraId="121DF908" w14:textId="77777777" w:rsidR="00555532" w:rsidRPr="0093565E" w:rsidRDefault="00555532">
      <w:pPr>
        <w:spacing w:after="0" w:line="276" w:lineRule="auto"/>
        <w:rPr>
          <w:rFonts w:asciiTheme="minorHAnsi" w:eastAsia="Times New Roman" w:hAnsiTheme="minorHAnsi" w:cstheme="minorHAnsi"/>
        </w:rPr>
      </w:pPr>
    </w:p>
    <w:p w14:paraId="22E751A5" w14:textId="77777777" w:rsidR="00555532" w:rsidRPr="0093565E"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Research conducted by the American Heart Association has found that </w:t>
      </w:r>
      <w:r w:rsidRPr="0093565E">
        <w:rPr>
          <w:rFonts w:asciiTheme="minorHAnsi" w:eastAsia="Times New Roman" w:hAnsiTheme="minorHAnsi" w:cstheme="minorHAnsi"/>
          <w:b/>
        </w:rPr>
        <w:t>Hawaiʻi has the highest rate of middle school-aged students' use of ESDs nationwide, and the second highest high school student usage rate.</w:t>
      </w:r>
      <w:r w:rsidRPr="0093565E">
        <w:rPr>
          <w:rFonts w:asciiTheme="minorHAnsi" w:eastAsia="Times New Roman" w:hAnsiTheme="minorHAnsi" w:cstheme="minorHAnsi"/>
        </w:rPr>
        <w:t xml:space="preserve"> Further research from Living Healthy Hawaiʻi shows that youth who use e-cigarettes are four times more likely to try regular cigarettes, and three times more likely to become cigarette smokers. </w:t>
      </w:r>
    </w:p>
    <w:p w14:paraId="1F33E117" w14:textId="77777777" w:rsidR="00555532" w:rsidRPr="0093565E" w:rsidRDefault="00555532">
      <w:pPr>
        <w:spacing w:after="0" w:line="276" w:lineRule="auto"/>
        <w:rPr>
          <w:rFonts w:asciiTheme="minorHAnsi" w:eastAsia="Times New Roman" w:hAnsiTheme="minorHAnsi" w:cstheme="minorHAnsi"/>
        </w:rPr>
      </w:pPr>
    </w:p>
    <w:p w14:paraId="244EE109" w14:textId="77777777" w:rsidR="00555532" w:rsidRPr="0093565E"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The Center for Disease Control (CDC) states that 99% of e-cigarettes sold in assessed venues contained nicotine, a substance which changes the way the brain develops, increases the risk of future addictions, and increases the risk of heart disease. ESDs come in flavors that introduce youth to nicotine and increase the likelihood of addiction - research from the CDC shows that flavored tobacco products are more addictive than regular tobacco products. </w:t>
      </w:r>
    </w:p>
    <w:p w14:paraId="011BDA29" w14:textId="77777777" w:rsidR="00555532" w:rsidRPr="0093565E" w:rsidRDefault="00555532">
      <w:pPr>
        <w:spacing w:after="0" w:line="276" w:lineRule="auto"/>
        <w:rPr>
          <w:rFonts w:asciiTheme="minorHAnsi" w:eastAsia="Times New Roman" w:hAnsiTheme="minorHAnsi" w:cstheme="minorHAnsi"/>
        </w:rPr>
      </w:pPr>
    </w:p>
    <w:p w14:paraId="4F558CE5" w14:textId="361F7662" w:rsidR="00555532" w:rsidRDefault="0093565E">
      <w:pPr>
        <w:spacing w:after="0" w:line="276" w:lineRule="auto"/>
        <w:rPr>
          <w:rFonts w:asciiTheme="minorHAnsi" w:eastAsia="Times New Roman" w:hAnsiTheme="minorHAnsi" w:cstheme="minorHAnsi"/>
        </w:rPr>
      </w:pPr>
      <w:r w:rsidRPr="0093565E">
        <w:rPr>
          <w:rFonts w:asciiTheme="minorHAnsi" w:eastAsia="Times New Roman" w:hAnsiTheme="minorHAnsi" w:cstheme="minorHAnsi"/>
        </w:rPr>
        <w:t xml:space="preserve">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 </w:t>
      </w:r>
    </w:p>
    <w:p w14:paraId="4ACAE84E" w14:textId="77777777" w:rsidR="00FA13AE" w:rsidRPr="0093565E" w:rsidRDefault="00FA13AE">
      <w:pPr>
        <w:spacing w:after="0" w:line="276" w:lineRule="auto"/>
        <w:rPr>
          <w:rFonts w:asciiTheme="minorHAnsi" w:eastAsia="Times New Roman" w:hAnsiTheme="minorHAnsi" w:cstheme="minorHAnsi"/>
        </w:rPr>
      </w:pPr>
    </w:p>
    <w:p w14:paraId="200B0C3D" w14:textId="77777777" w:rsidR="00555532" w:rsidRPr="0093565E" w:rsidRDefault="0093565E">
      <w:pPr>
        <w:spacing w:after="0" w:line="276" w:lineRule="auto"/>
        <w:rPr>
          <w:rFonts w:asciiTheme="minorHAnsi" w:eastAsia="Times New Roman" w:hAnsiTheme="minorHAnsi" w:cstheme="minorHAnsi"/>
          <w:b/>
        </w:rPr>
      </w:pPr>
      <w:r w:rsidRPr="0093565E">
        <w:rPr>
          <w:rFonts w:asciiTheme="minorHAnsi" w:eastAsia="Times New Roman" w:hAnsiTheme="minorHAnsi" w:cstheme="minorHAnsi"/>
        </w:rPr>
        <w:t>Please support HB 537.</w:t>
      </w:r>
    </w:p>
    <w:sectPr w:rsidR="00555532" w:rsidRPr="0093565E" w:rsidSect="008F2747">
      <w:footerReference w:type="default" r:id="rId8"/>
      <w:pgSz w:w="12240" w:h="15840"/>
      <w:pgMar w:top="72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0FB4" w14:textId="77777777" w:rsidR="00E93263" w:rsidRDefault="00E93263">
      <w:pPr>
        <w:spacing w:after="0" w:line="240" w:lineRule="auto"/>
      </w:pPr>
      <w:r>
        <w:separator/>
      </w:r>
    </w:p>
  </w:endnote>
  <w:endnote w:type="continuationSeparator" w:id="0">
    <w:p w14:paraId="4EB2CC63" w14:textId="77777777" w:rsidR="00E93263" w:rsidRDefault="00E9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55F" w14:textId="77777777" w:rsidR="00555532" w:rsidRDefault="0093565E">
    <w:pPr>
      <w:pBdr>
        <w:top w:val="nil"/>
        <w:left w:val="nil"/>
        <w:bottom w:val="nil"/>
        <w:right w:val="nil"/>
        <w:between w:val="nil"/>
      </w:pBdr>
      <w:tabs>
        <w:tab w:val="center" w:pos="4680"/>
        <w:tab w:val="right" w:pos="9360"/>
      </w:tabs>
      <w:spacing w:after="0" w:line="240" w:lineRule="auto"/>
      <w:jc w:val="center"/>
      <w:rPr>
        <w:color w:val="000000"/>
      </w:rPr>
    </w:pPr>
    <w:r>
      <w:rPr>
        <w:color w:val="000000"/>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49B2" w14:textId="77777777" w:rsidR="00E93263" w:rsidRDefault="00E93263">
      <w:pPr>
        <w:spacing w:after="0" w:line="240" w:lineRule="auto"/>
      </w:pPr>
      <w:r>
        <w:separator/>
      </w:r>
    </w:p>
  </w:footnote>
  <w:footnote w:type="continuationSeparator" w:id="0">
    <w:p w14:paraId="3F084281" w14:textId="77777777" w:rsidR="00E93263" w:rsidRDefault="00E93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2"/>
    <w:rsid w:val="003933E0"/>
    <w:rsid w:val="00555532"/>
    <w:rsid w:val="008F2747"/>
    <w:rsid w:val="0093565E"/>
    <w:rsid w:val="00D51A24"/>
    <w:rsid w:val="00E34B95"/>
    <w:rsid w:val="00E93263"/>
    <w:rsid w:val="00FA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1DC0"/>
  <w15:docId w15:val="{CE0DBED8-1804-4AFB-88B3-D199885F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rbQ4iTgeDs3sve+Wb/hhxU/VeA==">AMUW2mWfW/a0aQZSH404vfnhdNVVD0CCd3fc8HGZu/8NUsCmcIjxzWtex0iusw9gzaaSenOIPyhK26a4ssSkHPoTkmcwYTDxdNjQD0PI11rQshTD5o6LRGI=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2023-02-13T04:31:00Z</dcterms:created>
  <dcterms:modified xsi:type="dcterms:W3CDTF">2023-02-13T04:31:00Z</dcterms:modified>
</cp:coreProperties>
</file>