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13AE" w14:textId="70179B26" w:rsidR="005A2EEE" w:rsidRDefault="005A2EEE" w:rsidP="005A2EEE">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54A7EE93" wp14:editId="0AA0E933">
            <wp:simplePos x="0" y="0"/>
            <wp:positionH relativeFrom="column">
              <wp:posOffset>0</wp:posOffset>
            </wp:positionH>
            <wp:positionV relativeFrom="paragraph">
              <wp:posOffset>-365760</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95300"/>
                    </a:xfrm>
                    <a:prstGeom prst="rect">
                      <a:avLst/>
                    </a:prstGeom>
                    <a:ln/>
                  </pic:spPr>
                </pic:pic>
              </a:graphicData>
            </a:graphic>
          </wp:anchor>
        </w:drawing>
      </w:r>
    </w:p>
    <w:p w14:paraId="320B21AC" w14:textId="77777777" w:rsidR="005A2EEE" w:rsidRDefault="005A2EEE" w:rsidP="005A2EEE">
      <w:pPr>
        <w:spacing w:after="0" w:line="240" w:lineRule="auto"/>
        <w:ind w:right="-720"/>
        <w:rPr>
          <w:rFonts w:ascii="Times New Roman" w:hAnsi="Times New Roman" w:cs="Times New Roman"/>
          <w:sz w:val="24"/>
          <w:szCs w:val="24"/>
          <w:lang w:val="haw-US"/>
        </w:rPr>
      </w:pPr>
    </w:p>
    <w:p w14:paraId="3163C16D" w14:textId="33ADEA88" w:rsidR="005A2EEE" w:rsidRPr="002300E9" w:rsidRDefault="005A2EEE" w:rsidP="005A2EEE">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February 22</w:t>
      </w:r>
      <w:r w:rsidRPr="002300E9">
        <w:rPr>
          <w:rFonts w:ascii="Times New Roman" w:hAnsi="Times New Roman" w:cs="Times New Roman"/>
          <w:sz w:val="24"/>
          <w:szCs w:val="24"/>
        </w:rPr>
        <w:t>, 202</w:t>
      </w:r>
      <w:r>
        <w:rPr>
          <w:rFonts w:ascii="Times New Roman" w:hAnsi="Times New Roman" w:cs="Times New Roman"/>
          <w:sz w:val="24"/>
          <w:szCs w:val="24"/>
        </w:rPr>
        <w:t>4</w:t>
      </w:r>
    </w:p>
    <w:p w14:paraId="5B0039A1" w14:textId="77777777" w:rsidR="005A2EEE" w:rsidRPr="002300E9" w:rsidRDefault="005A2EEE" w:rsidP="005A2EEE">
      <w:pPr>
        <w:spacing w:after="0" w:line="240" w:lineRule="auto"/>
        <w:ind w:right="-720"/>
        <w:rPr>
          <w:rFonts w:ascii="Times New Roman" w:hAnsi="Times New Roman" w:cs="Times New Roman"/>
          <w:sz w:val="24"/>
          <w:szCs w:val="24"/>
        </w:rPr>
      </w:pPr>
    </w:p>
    <w:p w14:paraId="32AFB6D2" w14:textId="77777777" w:rsidR="005A2EEE" w:rsidRPr="002300E9" w:rsidRDefault="005A2EEE" w:rsidP="005A2EEE">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House Committee on Judiciary and Hawaiian Affairs</w:t>
      </w:r>
    </w:p>
    <w:p w14:paraId="1A056E42" w14:textId="77777777" w:rsidR="005A2EEE" w:rsidRPr="002300E9" w:rsidRDefault="005A2EEE" w:rsidP="005A2EE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Pr>
          <w:rFonts w:ascii="Times New Roman" w:hAnsi="Times New Roman" w:cs="Times New Roman"/>
          <w:sz w:val="24"/>
          <w:szCs w:val="24"/>
          <w:lang w:val="haw-US"/>
        </w:rPr>
        <w:t>2:00 PM</w:t>
      </w:r>
    </w:p>
    <w:p w14:paraId="5D6396E4" w14:textId="77777777" w:rsidR="005A2EEE" w:rsidRPr="002300E9" w:rsidRDefault="005A2EEE" w:rsidP="005A2EEE">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Pr>
          <w:rFonts w:ascii="Times New Roman" w:hAnsi="Times New Roman" w:cs="Times New Roman"/>
          <w:sz w:val="24"/>
          <w:szCs w:val="24"/>
          <w:lang w:val="haw-US"/>
        </w:rPr>
        <w:t>325</w:t>
      </w:r>
    </w:p>
    <w:p w14:paraId="50A09C84" w14:textId="1BA85385" w:rsidR="005A2EEE" w:rsidRPr="002300E9" w:rsidRDefault="005A2EEE" w:rsidP="005A2EE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Pr>
          <w:rFonts w:ascii="Times New Roman" w:hAnsi="Times New Roman" w:cs="Times New Roman"/>
          <w:sz w:val="24"/>
          <w:szCs w:val="24"/>
        </w:rPr>
        <w:t>HB160</w:t>
      </w:r>
      <w:r w:rsidR="00702840">
        <w:rPr>
          <w:rFonts w:ascii="Times New Roman" w:hAnsi="Times New Roman" w:cs="Times New Roman"/>
          <w:sz w:val="24"/>
          <w:szCs w:val="24"/>
        </w:rPr>
        <w:t>3</w:t>
      </w:r>
      <w:r>
        <w:rPr>
          <w:rFonts w:ascii="Times New Roman" w:hAnsi="Times New Roman" w:cs="Times New Roman"/>
          <w:sz w:val="24"/>
          <w:szCs w:val="24"/>
        </w:rPr>
        <w:t>, Relating to Criminal Justice Reform</w:t>
      </w:r>
    </w:p>
    <w:p w14:paraId="3CA15F2D" w14:textId="77777777" w:rsidR="005A2EEE" w:rsidRPr="002300E9" w:rsidRDefault="005A2EEE" w:rsidP="005A2EEE">
      <w:pPr>
        <w:spacing w:after="0" w:line="240" w:lineRule="auto"/>
        <w:ind w:right="-720"/>
        <w:rPr>
          <w:rFonts w:ascii="Times New Roman" w:hAnsi="Times New Roman" w:cs="Times New Roman"/>
          <w:sz w:val="24"/>
          <w:szCs w:val="24"/>
        </w:rPr>
      </w:pPr>
    </w:p>
    <w:p w14:paraId="15CD186B" w14:textId="77777777" w:rsidR="005A2EEE" w:rsidRPr="002300E9" w:rsidRDefault="005A2EEE" w:rsidP="005A2EE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 xml:space="preserve">e </w:t>
      </w:r>
      <w:r>
        <w:rPr>
          <w:rFonts w:ascii="Times New Roman" w:hAnsi="Times New Roman" w:cs="Times New Roman"/>
          <w:sz w:val="24"/>
          <w:szCs w:val="24"/>
          <w:lang w:val="haw-US"/>
        </w:rPr>
        <w:t>Chair Tarnas, Vice Chair Takayama, and members of the Committee,</w:t>
      </w:r>
    </w:p>
    <w:p w14:paraId="782E76E4" w14:textId="77777777" w:rsidR="005A2EEE" w:rsidRPr="002300E9" w:rsidRDefault="005A2EEE" w:rsidP="005A2EEE">
      <w:pPr>
        <w:spacing w:after="0" w:line="240" w:lineRule="auto"/>
        <w:ind w:right="-720"/>
        <w:rPr>
          <w:rFonts w:ascii="Times New Roman" w:hAnsi="Times New Roman" w:cs="Times New Roman"/>
          <w:sz w:val="24"/>
          <w:szCs w:val="24"/>
        </w:rPr>
      </w:pPr>
    </w:p>
    <w:p w14:paraId="2994079C" w14:textId="6A446542" w:rsidR="005A2EEE" w:rsidRDefault="005A2EEE" w:rsidP="005A2EEE">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Pr>
          <w:rFonts w:ascii="Times New Roman" w:hAnsi="Times New Roman" w:cs="Times New Roman"/>
          <w:sz w:val="24"/>
          <w:szCs w:val="24"/>
        </w:rPr>
        <w:t>HB160</w:t>
      </w:r>
      <w:r w:rsidR="00702840">
        <w:rPr>
          <w:rFonts w:ascii="Times New Roman" w:hAnsi="Times New Roman" w:cs="Times New Roman"/>
          <w:sz w:val="24"/>
          <w:szCs w:val="24"/>
        </w:rPr>
        <w:t>3</w:t>
      </w:r>
      <w:r>
        <w:rPr>
          <w:rFonts w:ascii="Times New Roman" w:hAnsi="Times New Roman" w:cs="Times New Roman"/>
          <w:sz w:val="24"/>
          <w:szCs w:val="24"/>
        </w:rPr>
        <w:t xml:space="preserve">, relating to criminal justice reform. This bill </w:t>
      </w:r>
      <w:r w:rsidR="00702840">
        <w:rPr>
          <w:rFonts w:ascii="Times New Roman" w:hAnsi="Times New Roman" w:cs="Times New Roman"/>
          <w:sz w:val="24"/>
          <w:szCs w:val="24"/>
        </w:rPr>
        <w:t>amends various provisions relating to pretrial releases</w:t>
      </w:r>
      <w:r>
        <w:rPr>
          <w:rFonts w:ascii="Times New Roman" w:hAnsi="Times New Roman" w:cs="Times New Roman"/>
          <w:sz w:val="24"/>
          <w:szCs w:val="24"/>
        </w:rPr>
        <w:t>.</w:t>
      </w:r>
      <w:r w:rsidR="00702840">
        <w:rPr>
          <w:rFonts w:ascii="Times New Roman" w:hAnsi="Times New Roman" w:cs="Times New Roman"/>
          <w:sz w:val="24"/>
          <w:szCs w:val="24"/>
        </w:rPr>
        <w:t xml:space="preserve"> </w:t>
      </w:r>
    </w:p>
    <w:p w14:paraId="04D59030" w14:textId="77777777" w:rsidR="006E3A29" w:rsidRDefault="006E3A29" w:rsidP="005A2EEE">
      <w:pPr>
        <w:spacing w:after="0" w:line="240" w:lineRule="auto"/>
        <w:ind w:right="-180"/>
        <w:rPr>
          <w:rFonts w:ascii="Times New Roman" w:hAnsi="Times New Roman" w:cs="Times New Roman"/>
          <w:sz w:val="24"/>
          <w:szCs w:val="24"/>
        </w:rPr>
      </w:pPr>
    </w:p>
    <w:p w14:paraId="2EF4AC09" w14:textId="71E0363D" w:rsidR="005A2EEE" w:rsidRDefault="00F41A8F" w:rsidP="005A2EEE">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In consideration of the values of equal protection and due process rights, courts should presume that defendants in criminal cases who have not yet been found guilty of a crime should be entitled to release, unless that release would be inappropriate for the </w:t>
      </w:r>
      <w:proofErr w:type="gramStart"/>
      <w:r>
        <w:rPr>
          <w:rFonts w:ascii="Times New Roman" w:hAnsi="Times New Roman" w:cs="Times New Roman"/>
          <w:sz w:val="24"/>
          <w:szCs w:val="24"/>
        </w:rPr>
        <w:t>particular defendant</w:t>
      </w:r>
      <w:proofErr w:type="gramEnd"/>
      <w:r>
        <w:rPr>
          <w:rFonts w:ascii="Times New Roman" w:hAnsi="Times New Roman" w:cs="Times New Roman"/>
          <w:sz w:val="24"/>
          <w:szCs w:val="24"/>
        </w:rPr>
        <w:t xml:space="preserve">. Pretrial incarceration is the primary cause of overcrowding in community </w:t>
      </w:r>
      <w:proofErr w:type="gramStart"/>
      <w:r>
        <w:rPr>
          <w:rFonts w:ascii="Times New Roman" w:hAnsi="Times New Roman" w:cs="Times New Roman"/>
          <w:sz w:val="24"/>
          <w:szCs w:val="24"/>
        </w:rPr>
        <w:t>correctional facilities</w:t>
      </w:r>
      <w:proofErr w:type="gramEnd"/>
      <w:r>
        <w:rPr>
          <w:rFonts w:ascii="Times New Roman" w:hAnsi="Times New Roman" w:cs="Times New Roman"/>
          <w:sz w:val="24"/>
          <w:szCs w:val="24"/>
        </w:rPr>
        <w:t>, which becomes a health and safety issue for both defendants in custody as well as staff who work in those correctional facilities. This current system perpetuates systemic inequalities and imposes unnecessary hardships on individuals who have not yet been convicted of a crime.</w:t>
      </w:r>
    </w:p>
    <w:p w14:paraId="2980E60C" w14:textId="77777777" w:rsidR="00F41A8F" w:rsidRDefault="00F41A8F" w:rsidP="005A2EEE">
      <w:pPr>
        <w:spacing w:after="0" w:line="240" w:lineRule="auto"/>
        <w:ind w:right="-180"/>
        <w:rPr>
          <w:rFonts w:ascii="Times New Roman" w:hAnsi="Times New Roman" w:cs="Times New Roman"/>
          <w:sz w:val="24"/>
          <w:szCs w:val="24"/>
        </w:rPr>
      </w:pPr>
    </w:p>
    <w:p w14:paraId="72E59E89" w14:textId="50C6D6C5" w:rsidR="00F41A8F" w:rsidRDefault="00F41A8F" w:rsidP="005A2EEE">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Further, prolonged pretrial detention gives the illusion that justice is being serviced by keeping an alleged offender behind bars. However, this often unjustly results in a defendant pleading guilty, even if they may have prevailed at trial,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hasten their release from custody and return to a normal life. </w:t>
      </w:r>
    </w:p>
    <w:p w14:paraId="74835141" w14:textId="77777777" w:rsidR="00F41A8F" w:rsidRDefault="00F41A8F" w:rsidP="005A2EEE">
      <w:pPr>
        <w:spacing w:after="0" w:line="240" w:lineRule="auto"/>
        <w:ind w:right="-180"/>
        <w:rPr>
          <w:rFonts w:ascii="Times New Roman" w:hAnsi="Times New Roman" w:cs="Times New Roman"/>
          <w:sz w:val="24"/>
          <w:szCs w:val="24"/>
        </w:rPr>
      </w:pPr>
    </w:p>
    <w:p w14:paraId="30A3773E" w14:textId="796AEDCE" w:rsidR="00F41A8F" w:rsidRDefault="00F41A8F" w:rsidP="005A2EEE">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A key provision of HB1603 is the implementation of risk assessment tools to guide pretrial release decisions. These tools provide judges with objective data to assess the likelihood of a defendant’s appearance in court and the risk of re-offending while awaiting trial. By incorporating risk assessment tools into the pretrial release process, HB1603 ensures that decisions regarding bail and release are based on evidence rather than arbitrary factors such as wealth or social status. </w:t>
      </w:r>
    </w:p>
    <w:p w14:paraId="7B78B03B" w14:textId="77777777" w:rsidR="005A2EEE" w:rsidRPr="002300E9" w:rsidRDefault="005A2EEE" w:rsidP="005A2EEE">
      <w:pPr>
        <w:spacing w:after="0" w:line="240" w:lineRule="auto"/>
        <w:ind w:right="-180"/>
        <w:rPr>
          <w:rFonts w:ascii="Times New Roman" w:hAnsi="Times New Roman" w:cs="Times New Roman"/>
          <w:sz w:val="24"/>
          <w:szCs w:val="24"/>
        </w:rPr>
      </w:pPr>
    </w:p>
    <w:p w14:paraId="600DB4E7" w14:textId="77777777" w:rsidR="005A2EEE" w:rsidRPr="002300E9" w:rsidRDefault="005A2EEE" w:rsidP="005A2EEE">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p>
    <w:p w14:paraId="08E1EA4C" w14:textId="77777777" w:rsidR="005A2EEE" w:rsidRPr="002300E9" w:rsidRDefault="005A2EEE" w:rsidP="005A2EEE">
      <w:pPr>
        <w:spacing w:after="0" w:line="240" w:lineRule="auto"/>
        <w:ind w:right="-180"/>
        <w:rPr>
          <w:rFonts w:ascii="Times New Roman" w:hAnsi="Times New Roman" w:cs="Times New Roman"/>
          <w:sz w:val="24"/>
          <w:szCs w:val="24"/>
        </w:rPr>
      </w:pPr>
    </w:p>
    <w:p w14:paraId="5DE61A0F" w14:textId="57A23722" w:rsidR="005A2EEE" w:rsidRPr="002300E9" w:rsidRDefault="005A2EEE" w:rsidP="005A2EEE">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 xml:space="preserve">Please support </w:t>
      </w:r>
      <w:r>
        <w:rPr>
          <w:rFonts w:ascii="Times New Roman" w:hAnsi="Times New Roman" w:cs="Times New Roman"/>
          <w:b/>
          <w:bCs/>
          <w:sz w:val="24"/>
          <w:szCs w:val="24"/>
          <w:lang w:val="haw-US"/>
        </w:rPr>
        <w:t>HB160</w:t>
      </w:r>
      <w:r w:rsidR="00702840">
        <w:rPr>
          <w:rFonts w:ascii="Times New Roman" w:hAnsi="Times New Roman" w:cs="Times New Roman"/>
          <w:b/>
          <w:bCs/>
          <w:sz w:val="24"/>
          <w:szCs w:val="24"/>
          <w:lang w:val="haw-US"/>
        </w:rPr>
        <w:t>3</w:t>
      </w:r>
      <w:r w:rsidRPr="002300E9">
        <w:rPr>
          <w:rFonts w:ascii="Times New Roman" w:hAnsi="Times New Roman" w:cs="Times New Roman"/>
          <w:b/>
          <w:bCs/>
          <w:sz w:val="24"/>
          <w:szCs w:val="24"/>
          <w:lang w:val="haw-US"/>
        </w:rPr>
        <w:t>.</w:t>
      </w:r>
    </w:p>
    <w:p w14:paraId="21BA1875" w14:textId="77777777" w:rsidR="001F799F" w:rsidRDefault="001F799F"/>
    <w:p w14:paraId="1662A825" w14:textId="77777777" w:rsidR="00F25454" w:rsidRPr="003E7481" w:rsidRDefault="00F25454" w:rsidP="00F25454">
      <w:pPr>
        <w:spacing w:after="0" w:line="240" w:lineRule="auto"/>
        <w:ind w:right="-180"/>
        <w:jc w:val="center"/>
        <w:rPr>
          <w:rFonts w:ascii="Times New Roman" w:hAnsi="Times New Roman" w:cs="Times New Roman"/>
          <w:color w:val="ED7D31" w:themeColor="accent2"/>
          <w:sz w:val="24"/>
          <w:szCs w:val="24"/>
        </w:rPr>
      </w:pPr>
      <w:r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61312" behindDoc="0" locked="0" layoutInCell="1" hidden="0" allowOverlap="1" wp14:anchorId="61D94C89" wp14:editId="685A0D57">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6B7CBA6F" w14:textId="77777777" w:rsidR="00F25454" w:rsidRDefault="00F25454" w:rsidP="00F25454">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61D94C89" id="Rectangle 218" o:spid="_x0000_s1026" style="position:absolute;left:0;text-align:left;margin-left:-28pt;margin-top:436.6pt;width:538.25pt;height:11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6B7CBA6F" w14:textId="77777777" w:rsidR="00F25454" w:rsidRDefault="00F25454" w:rsidP="00F25454">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v:textbox>
              </v:rect>
            </w:pict>
          </mc:Fallback>
        </mc:AlternateContent>
      </w:r>
      <w:r w:rsidRPr="002300E9">
        <w:rPr>
          <w:rFonts w:ascii="Times New Roman" w:hAnsi="Times New Roman" w:cs="Times New Roman"/>
          <w:color w:val="ED7D31" w:themeColor="accent2"/>
          <w:sz w:val="24"/>
          <w:szCs w:val="24"/>
        </w:rPr>
        <w:t xml:space="preserve">1099 </w:t>
      </w:r>
      <w:proofErr w:type="spellStart"/>
      <w:r w:rsidRPr="002300E9">
        <w:rPr>
          <w:rFonts w:ascii="Times New Roman" w:hAnsi="Times New Roman" w:cs="Times New Roman"/>
          <w:color w:val="ED7D31" w:themeColor="accent2"/>
          <w:sz w:val="24"/>
          <w:szCs w:val="24"/>
        </w:rPr>
        <w:t>Alakea</w:t>
      </w:r>
      <w:proofErr w:type="spellEnd"/>
      <w:r w:rsidRPr="002300E9">
        <w:rPr>
          <w:rFonts w:ascii="Times New Roman" w:hAnsi="Times New Roman" w:cs="Times New Roman"/>
          <w:color w:val="ED7D31" w:themeColor="accent2"/>
          <w:sz w:val="24"/>
          <w:szCs w:val="24"/>
        </w:rPr>
        <w:t xml:space="preserve"> Street, Suite 2530 | Honolulu, Hawaii 96813 | (808) 447-1840</w:t>
      </w:r>
    </w:p>
    <w:p w14:paraId="54F46DF9" w14:textId="77777777" w:rsidR="00F25454" w:rsidRDefault="00F25454"/>
    <w:sectPr w:rsidR="00F25454" w:rsidSect="00E21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EE"/>
    <w:rsid w:val="001F799F"/>
    <w:rsid w:val="004842D0"/>
    <w:rsid w:val="005A2EEE"/>
    <w:rsid w:val="006447F9"/>
    <w:rsid w:val="006E3A29"/>
    <w:rsid w:val="00702840"/>
    <w:rsid w:val="00E21EAF"/>
    <w:rsid w:val="00F20FE8"/>
    <w:rsid w:val="00F25454"/>
    <w:rsid w:val="00F4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65DF5"/>
  <w14:defaultImageDpi w14:val="32767"/>
  <w15:chartTrackingRefBased/>
  <w15:docId w15:val="{E9527CDF-D7DD-4042-88F4-29B5D99C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EEE"/>
    <w:pPr>
      <w:spacing w:after="160" w:line="259" w:lineRule="auto"/>
    </w:pPr>
    <w:rPr>
      <w:rFonts w:ascii="Calibri" w:eastAsia="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Story</dc:creator>
  <cp:keywords/>
  <dc:description/>
  <cp:lastModifiedBy>Sydney Story</cp:lastModifiedBy>
  <cp:revision>3</cp:revision>
  <dcterms:created xsi:type="dcterms:W3CDTF">2024-02-21T09:36:00Z</dcterms:created>
  <dcterms:modified xsi:type="dcterms:W3CDTF">2024-02-21T21:00:00Z</dcterms:modified>
</cp:coreProperties>
</file>